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/>
      </w:tblPr>
      <w:tblGrid>
        <w:gridCol w:w="2254"/>
        <w:gridCol w:w="6746"/>
      </w:tblGrid>
      <w:tr w:rsidR="007631B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631B1" w:rsidRDefault="00E907D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631B1" w:rsidRDefault="00E907D8">
            <w:pPr>
              <w:spacing w:after="0" w:line="240" w:lineRule="auto"/>
            </w:pPr>
            <w:r>
              <w:t>36364</w:t>
            </w:r>
          </w:p>
        </w:tc>
      </w:tr>
      <w:tr w:rsidR="007631B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631B1" w:rsidRDefault="00E907D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631B1" w:rsidRDefault="00E907D8">
            <w:pPr>
              <w:spacing w:after="0" w:line="240" w:lineRule="auto"/>
            </w:pPr>
            <w:r>
              <w:t>DJEČJI VRTIĆ TRATINČICA</w:t>
            </w:r>
          </w:p>
        </w:tc>
      </w:tr>
      <w:tr w:rsidR="007631B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631B1" w:rsidRDefault="00E907D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631B1" w:rsidRDefault="00E907D8">
            <w:pPr>
              <w:spacing w:after="0" w:line="240" w:lineRule="auto"/>
            </w:pPr>
            <w:r>
              <w:t>21</w:t>
            </w:r>
          </w:p>
        </w:tc>
      </w:tr>
    </w:tbl>
    <w:p w:rsidR="007631B1" w:rsidRDefault="00E907D8">
      <w:r>
        <w:br/>
      </w:r>
    </w:p>
    <w:p w:rsidR="007631B1" w:rsidRDefault="00E907D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631B1" w:rsidRDefault="00E907D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631B1" w:rsidRDefault="00E907D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486.507,75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550.151,43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485.626,42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590.393,29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40.241,86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207,3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2.552,73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5.291,03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207,3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1.671,40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45.532,89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2724,2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U razdoblju od 1.siječnja do 31. prosinca 2025. prihodi poslovanja su ostvareni u iznosu od 550.151,43 EUR. Najznačajnije povećanje prihoda poslovanja ostvareno je od prihoda iz nadležnog proračuna za financiranje rashoda poslovanja. Najznačajnije smanjenj</w:t>
      </w:r>
      <w:r>
        <w:t>e  bilježe prihodi od ušravnih i administrativnih pristojbi, pristojbi po posebnim pripisima i naknada. Rashodi poslovanja od 1. siječnja do 31. prosinca 2025. ostvareni su u iznosu od 590.393,29 EUR. Najznačajnije povećanje rashoda evidentirano je na rash</w:t>
      </w:r>
      <w:r>
        <w:t xml:space="preserve">odima za plaće.  Najznačajnije </w:t>
      </w:r>
      <w:r>
        <w:lastRenderedPageBreak/>
        <w:t>smanjenje rashoda poslovanja bilježi se na rashodima za usluge. U navedenom razdoblju nema ostvarenih prihoda od prodaje nefinancijske imovine, dok su rashodi za nabavu nefinancijske imovine ostvareni u iznosu od 5.291,03 EUR</w:t>
      </w:r>
      <w:r>
        <w:t>. U navedenom razdoblju nije bilo ostvarenih primitaka i izdataka od financijske imovine i zaduživanja. U razdoblju od 1. siječanj do 31. prosinca 2025. ostvaren je manjak prihoda poslovanja u iznosu od 40.241,86 EUR, manjak prihoda od nefinancijske imovin</w:t>
      </w:r>
      <w:r>
        <w:t>e u iznosu od 5.291,03 EUR, slijedom čega je na kraju izvještajnog razdoblja ostvaren ukupan manjak prihoda i primitaka u iznosu od 45.532,89 EUR.</w:t>
      </w:r>
    </w:p>
    <w:p w:rsidR="007631B1" w:rsidRDefault="00E907D8">
      <w:r>
        <w:br/>
      </w:r>
    </w:p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486.507,75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550.151,43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Prihodi poslovanja su ostvareni u iznosu od 550.151,43 EUR odnosno 13,1% više u odnosu na prethodnu godinu.</w:t>
      </w:r>
    </w:p>
    <w:p w:rsidR="007631B1" w:rsidRDefault="00E907D8">
      <w:r>
        <w:t xml:space="preserve">U </w:t>
      </w:r>
      <w:r>
        <w:t>tablici je prikaz ostvarenih prihoda poslovanja.</w:t>
      </w:r>
    </w:p>
    <w:tbl>
      <w:tblPr>
        <w:tblStyle w:val="Reetkatablice"/>
        <w:tblW w:w="4516" w:type="pct"/>
        <w:tblLook w:val="04A0"/>
      </w:tblPr>
      <w:tblGrid>
        <w:gridCol w:w="1234"/>
        <w:gridCol w:w="3269"/>
        <w:gridCol w:w="1296"/>
        <w:gridCol w:w="1304"/>
        <w:gridCol w:w="1286"/>
      </w:tblGrid>
      <w:tr w:rsidR="007631B1">
        <w:trPr>
          <w:trHeight w:val="542"/>
        </w:trPr>
        <w:tc>
          <w:tcPr>
            <w:tcW w:w="73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Rač. iz rač.plana</w:t>
            </w:r>
          </w:p>
        </w:tc>
        <w:tc>
          <w:tcPr>
            <w:tcW w:w="195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Opis stavke</w:t>
            </w:r>
          </w:p>
        </w:tc>
        <w:tc>
          <w:tcPr>
            <w:tcW w:w="76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2024.</w:t>
            </w:r>
          </w:p>
        </w:tc>
        <w:tc>
          <w:tcPr>
            <w:tcW w:w="779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2025.</w:t>
            </w:r>
          </w:p>
        </w:tc>
        <w:tc>
          <w:tcPr>
            <w:tcW w:w="76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Indeks</w:t>
            </w:r>
          </w:p>
        </w:tc>
      </w:tr>
      <w:tr w:rsidR="007631B1">
        <w:trPr>
          <w:trHeight w:val="1214"/>
        </w:trPr>
        <w:tc>
          <w:tcPr>
            <w:tcW w:w="73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63</w:t>
            </w:r>
          </w:p>
        </w:tc>
        <w:tc>
          <w:tcPr>
            <w:tcW w:w="195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Pomoći iz inozemstva i od subjekata unutar općeg proračuna</w:t>
            </w:r>
          </w:p>
        </w:tc>
        <w:tc>
          <w:tcPr>
            <w:tcW w:w="76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4.056,29</w:t>
            </w:r>
          </w:p>
        </w:tc>
        <w:tc>
          <w:tcPr>
            <w:tcW w:w="779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4.169,10</w:t>
            </w:r>
          </w:p>
        </w:tc>
        <w:tc>
          <w:tcPr>
            <w:tcW w:w="76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102,8</w:t>
            </w:r>
          </w:p>
        </w:tc>
      </w:tr>
      <w:tr w:rsidR="007631B1">
        <w:trPr>
          <w:trHeight w:val="542"/>
        </w:trPr>
        <w:tc>
          <w:tcPr>
            <w:tcW w:w="73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64</w:t>
            </w:r>
          </w:p>
        </w:tc>
        <w:tc>
          <w:tcPr>
            <w:tcW w:w="195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Prihodi od imovine</w:t>
            </w:r>
          </w:p>
        </w:tc>
        <w:tc>
          <w:tcPr>
            <w:tcW w:w="76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0,00</w:t>
            </w:r>
          </w:p>
        </w:tc>
        <w:tc>
          <w:tcPr>
            <w:tcW w:w="779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0,00</w:t>
            </w:r>
          </w:p>
        </w:tc>
        <w:tc>
          <w:tcPr>
            <w:tcW w:w="76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-</w:t>
            </w:r>
          </w:p>
        </w:tc>
      </w:tr>
      <w:tr w:rsidR="007631B1">
        <w:trPr>
          <w:trHeight w:val="1214"/>
        </w:trPr>
        <w:tc>
          <w:tcPr>
            <w:tcW w:w="73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65</w:t>
            </w:r>
          </w:p>
        </w:tc>
        <w:tc>
          <w:tcPr>
            <w:tcW w:w="195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 xml:space="preserve">Prihodi od upravnih i </w:t>
            </w:r>
            <w:r>
              <w:t>administrativnih pristojbi, pristojbi po posebnim propisima i naknada</w:t>
            </w:r>
          </w:p>
        </w:tc>
        <w:tc>
          <w:tcPr>
            <w:tcW w:w="76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68.139,98</w:t>
            </w:r>
          </w:p>
        </w:tc>
        <w:tc>
          <w:tcPr>
            <w:tcW w:w="779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67.192,94</w:t>
            </w:r>
          </w:p>
        </w:tc>
        <w:tc>
          <w:tcPr>
            <w:tcW w:w="76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98,6</w:t>
            </w:r>
          </w:p>
        </w:tc>
      </w:tr>
      <w:tr w:rsidR="007631B1">
        <w:trPr>
          <w:trHeight w:val="1214"/>
        </w:trPr>
        <w:tc>
          <w:tcPr>
            <w:tcW w:w="73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66</w:t>
            </w:r>
          </w:p>
        </w:tc>
        <w:tc>
          <w:tcPr>
            <w:tcW w:w="195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Prihodi od prodaje proizvoda i robe te pruženih usluga, prihodi od donacija te povrati po protestiranim jamstvima</w:t>
            </w:r>
          </w:p>
        </w:tc>
        <w:tc>
          <w:tcPr>
            <w:tcW w:w="76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0,00</w:t>
            </w:r>
          </w:p>
        </w:tc>
        <w:tc>
          <w:tcPr>
            <w:tcW w:w="779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0,00</w:t>
            </w:r>
          </w:p>
        </w:tc>
        <w:tc>
          <w:tcPr>
            <w:tcW w:w="76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-</w:t>
            </w:r>
          </w:p>
        </w:tc>
      </w:tr>
      <w:tr w:rsidR="007631B1">
        <w:trPr>
          <w:trHeight w:val="878"/>
        </w:trPr>
        <w:tc>
          <w:tcPr>
            <w:tcW w:w="73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67</w:t>
            </w:r>
          </w:p>
        </w:tc>
        <w:tc>
          <w:tcPr>
            <w:tcW w:w="195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Prihodi iz nadležnog prorač</w:t>
            </w:r>
            <w:r>
              <w:t>una i od HZZO-a na temelju ugovornij obveza</w:t>
            </w:r>
          </w:p>
        </w:tc>
        <w:tc>
          <w:tcPr>
            <w:tcW w:w="76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414.311,48</w:t>
            </w:r>
          </w:p>
        </w:tc>
        <w:tc>
          <w:tcPr>
            <w:tcW w:w="779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478.789,39</w:t>
            </w:r>
          </w:p>
        </w:tc>
        <w:tc>
          <w:tcPr>
            <w:tcW w:w="76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115,6</w:t>
            </w:r>
          </w:p>
        </w:tc>
      </w:tr>
    </w:tbl>
    <w:p w:rsidR="007631B1" w:rsidRDefault="00E907D8">
      <w:pPr>
        <w:jc w:val="center"/>
      </w:pPr>
      <w:r>
        <w:t> 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</w:t>
            </w:r>
            <w:r>
              <w:rPr>
                <w:sz w:val="18"/>
              </w:rPr>
              <w:t>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4.056,29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Pomoći iz inozemstva i od subjekata unutar općeg proračuna ostvareni su u iznosu od 4.169,10 EUR odnosno 2,8% više u odnosu na prethodnu godinu.  Navedeni prihodi se odnose na tekuće pomoći iz državnog proračuna za provođenje programa predškole, tekuće pom</w:t>
      </w:r>
      <w:r>
        <w:t>oći iz državnog proračuna za provođenje programa za djecu s teškoćama koja su integrirana u redovne odgojno-obrazovne skupine, Tekuće pomoći iz županijskog proračuna za provođenje projekta „Institucionalizacija zavičajnosti/zavičajne nastave u kurikulume p</w:t>
      </w:r>
      <w:r>
        <w:t>redškolskih ustanova na području Istarske županije – Regione Istriana“ te tekuće pomoći iz proračuna Općine Marčana za sufinanciranje boravka djece s područja Općine Marčana.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68.139,98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67.192,94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Prihodi od upravnih</w:t>
      </w:r>
      <w:r>
        <w:t xml:space="preserve"> i administrativnih pristojbi, pristojbi po posebnim propisima i naknada ostvareni su u iznosu od 67.192,94 EUR odnosno 98,6% u odnosu na prethodnu godinu. Navedeni prihodi se odnose na sufinanciranje cijene usluge, participacije i slično.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414.311,48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478.789,39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Prihodi iz nadležnog proračuna za financiranje rashoda poslovanja ostvareni su u iznosu od 478.789,39 EUR i veći su za 15,6 % u odnosu na ostvarenje u izvještajnom razdoblju prethodne godine. Od ukupno ostvarenih prihoda, iznos od 438.30</w:t>
      </w:r>
      <w:r>
        <w:t>1,39 EUR doznačen je iz izvora financiranja: opći prihodi i primici proračuna Općine Barban (Na temelju Odluke o načinu utvrđivanja plaća za djelatnike u Dječjem vrtiću „Tratinčica“ koje se financiraju iz proračuna Općine Barban i izmjena Kolektivnog ugovo</w:t>
      </w:r>
      <w:r>
        <w:t xml:space="preserve">ra, povećani su koeficijenti i osnovica za obračun plaće djelatnika, te su samim time doznačena veća sredstva za rashode za zaposlene u odnosu na prethodnu godinu), a iznos od 40.488,00 EUR doznačen je iz izvora </w:t>
      </w:r>
      <w:r>
        <w:lastRenderedPageBreak/>
        <w:t xml:space="preserve">financiranja: pomoći iz državnog proračuna. </w:t>
      </w:r>
      <w:r>
        <w:t>Na temelju odredbi Uredbe o kriterijima i mjerilima za utvrđivanje iznosa sredstava za fiskalnu održivost dječjih vrtića i odredbi Odluke o dodjeli sredstava za fiskalnu održivost dječjih vrtića za pedagošku godinu 2024./2025. i odredbi Odluke o dodjeli sr</w:t>
      </w:r>
      <w:r>
        <w:t>edstava za fiskalnu održivost dječjih vrtića za pedagošku godinu 2025./2026. doznačena su sredstva za financiranje fiskalne održivosti dječjeg vrtića za cijelu 2025. godinu)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485.626,42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590.393,29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Rashodi poslovanja ostvareni su u iznosu od 590.393,29 EUR odnosno 121,6'% u odnosu na prethodnu godinu. Najveće odstupanje je u rashodima za plaće, koji su ostvareni 141,8% u odnosu na prethodnu godinu. Navedeno odstupanje se odnosi na metodološki manjak </w:t>
      </w:r>
      <w:r>
        <w:t>koji proizlazi iz vremenske nepodudarnosti priznavanja prihoda i rashoda. Plaća za 12 mjesec je proknjiženjau dvanaestom mjesecu 2025. godine odnosno u mjesecu na koji se odnosi, dok se pripadajući prihodi iz proračuna priznaju tek prilikom plaćanja u iduć</w:t>
      </w:r>
      <w:r>
        <w:t>em mjesecu. Ovo je tehničko-računovodstveno pitanje, a ne stvarni nedostatak sredstava.</w:t>
      </w:r>
    </w:p>
    <w:p w:rsidR="007631B1" w:rsidRDefault="00E907D8">
      <w:r>
        <w:t>U tablici koja slijedi daje se pregled izvršenih rashoda poslovanja za razdoblje I-XII 2025. godine.</w:t>
      </w:r>
    </w:p>
    <w:tbl>
      <w:tblPr>
        <w:tblStyle w:val="Reetkatablice"/>
        <w:tblW w:w="4772" w:type="pct"/>
        <w:tblLook w:val="04A0"/>
      </w:tblPr>
      <w:tblGrid>
        <w:gridCol w:w="1169"/>
        <w:gridCol w:w="1713"/>
        <w:gridCol w:w="1745"/>
        <w:gridCol w:w="2033"/>
        <w:gridCol w:w="2204"/>
      </w:tblGrid>
      <w:tr w:rsidR="007631B1">
        <w:trPr>
          <w:trHeight w:val="878"/>
        </w:trPr>
        <w:tc>
          <w:tcPr>
            <w:tcW w:w="62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Račun iz Rač.plana</w:t>
            </w:r>
          </w:p>
        </w:tc>
        <w:tc>
          <w:tcPr>
            <w:tcW w:w="97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Opis stavke</w:t>
            </w:r>
          </w:p>
        </w:tc>
        <w:tc>
          <w:tcPr>
            <w:tcW w:w="99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2024.</w:t>
            </w:r>
          </w:p>
        </w:tc>
        <w:tc>
          <w:tcPr>
            <w:tcW w:w="115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2025.</w:t>
            </w:r>
          </w:p>
        </w:tc>
        <w:tc>
          <w:tcPr>
            <w:tcW w:w="125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Indeks</w:t>
            </w:r>
          </w:p>
        </w:tc>
      </w:tr>
      <w:tr w:rsidR="007631B1">
        <w:trPr>
          <w:trHeight w:val="542"/>
        </w:trPr>
        <w:tc>
          <w:tcPr>
            <w:tcW w:w="62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31</w:t>
            </w:r>
          </w:p>
        </w:tc>
        <w:tc>
          <w:tcPr>
            <w:tcW w:w="97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 xml:space="preserve">Rashodi za </w:t>
            </w:r>
            <w:r>
              <w:t>zaposlene</w:t>
            </w:r>
          </w:p>
        </w:tc>
        <w:tc>
          <w:tcPr>
            <w:tcW w:w="99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372.267,05</w:t>
            </w:r>
          </w:p>
        </w:tc>
        <w:tc>
          <w:tcPr>
            <w:tcW w:w="115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491.443,35</w:t>
            </w:r>
          </w:p>
        </w:tc>
        <w:tc>
          <w:tcPr>
            <w:tcW w:w="125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132,01</w:t>
            </w:r>
          </w:p>
        </w:tc>
      </w:tr>
      <w:tr w:rsidR="007631B1">
        <w:trPr>
          <w:trHeight w:val="542"/>
        </w:trPr>
        <w:tc>
          <w:tcPr>
            <w:tcW w:w="62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32</w:t>
            </w:r>
          </w:p>
        </w:tc>
        <w:tc>
          <w:tcPr>
            <w:tcW w:w="97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Materijalni rashodi</w:t>
            </w:r>
          </w:p>
        </w:tc>
        <w:tc>
          <w:tcPr>
            <w:tcW w:w="99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112.270,29</w:t>
            </w:r>
          </w:p>
        </w:tc>
        <w:tc>
          <w:tcPr>
            <w:tcW w:w="115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98.206,59</w:t>
            </w:r>
          </w:p>
        </w:tc>
        <w:tc>
          <w:tcPr>
            <w:tcW w:w="125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87,5</w:t>
            </w:r>
          </w:p>
        </w:tc>
      </w:tr>
      <w:tr w:rsidR="007631B1">
        <w:trPr>
          <w:trHeight w:val="542"/>
        </w:trPr>
        <w:tc>
          <w:tcPr>
            <w:tcW w:w="62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34</w:t>
            </w:r>
          </w:p>
        </w:tc>
        <w:tc>
          <w:tcPr>
            <w:tcW w:w="97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Financijski rashodi</w:t>
            </w:r>
          </w:p>
        </w:tc>
        <w:tc>
          <w:tcPr>
            <w:tcW w:w="99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1.099,08</w:t>
            </w:r>
          </w:p>
        </w:tc>
        <w:tc>
          <w:tcPr>
            <w:tcW w:w="115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743,35</w:t>
            </w:r>
          </w:p>
        </w:tc>
        <w:tc>
          <w:tcPr>
            <w:tcW w:w="125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67,6</w:t>
            </w:r>
          </w:p>
        </w:tc>
      </w:tr>
    </w:tbl>
    <w:p w:rsidR="007631B1" w:rsidRDefault="00E907D8">
      <w:r>
        <w:t> 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372.257,05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491.443,35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lastRenderedPageBreak/>
        <w:t>Rashodi za zaposlene ostvareni su u iznosu od 491.443,35 EUR odnosno 132,0% u odnosu na prethodnu godinu.</w:t>
      </w:r>
    </w:p>
    <w:p w:rsidR="007631B1" w:rsidRDefault="00E907D8">
      <w:r>
        <w:t> </w:t>
      </w:r>
    </w:p>
    <w:tbl>
      <w:tblPr>
        <w:tblStyle w:val="Reetkatablice"/>
        <w:tblW w:w="4294" w:type="pct"/>
        <w:tblLook w:val="04A0"/>
      </w:tblPr>
      <w:tblGrid>
        <w:gridCol w:w="1089"/>
        <w:gridCol w:w="2250"/>
        <w:gridCol w:w="1467"/>
        <w:gridCol w:w="1377"/>
        <w:gridCol w:w="1794"/>
      </w:tblGrid>
      <w:tr w:rsidR="007631B1">
        <w:tc>
          <w:tcPr>
            <w:tcW w:w="55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Račun iz rač.plana</w:t>
            </w:r>
          </w:p>
        </w:tc>
        <w:tc>
          <w:tcPr>
            <w:tcW w:w="14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Opis stavke</w:t>
            </w:r>
          </w:p>
        </w:tc>
        <w:tc>
          <w:tcPr>
            <w:tcW w:w="951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2024.</w:t>
            </w:r>
          </w:p>
        </w:tc>
        <w:tc>
          <w:tcPr>
            <w:tcW w:w="89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2025.</w:t>
            </w:r>
          </w:p>
        </w:tc>
        <w:tc>
          <w:tcPr>
            <w:tcW w:w="115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Indeks</w:t>
            </w:r>
          </w:p>
        </w:tc>
      </w:tr>
      <w:tr w:rsidR="007631B1">
        <w:tc>
          <w:tcPr>
            <w:tcW w:w="55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311</w:t>
            </w:r>
          </w:p>
        </w:tc>
        <w:tc>
          <w:tcPr>
            <w:tcW w:w="14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Plaće bruto</w:t>
            </w:r>
          </w:p>
        </w:tc>
        <w:tc>
          <w:tcPr>
            <w:tcW w:w="951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282.896,07</w:t>
            </w:r>
          </w:p>
        </w:tc>
        <w:tc>
          <w:tcPr>
            <w:tcW w:w="89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401.243,41</w:t>
            </w:r>
          </w:p>
        </w:tc>
        <w:tc>
          <w:tcPr>
            <w:tcW w:w="115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141,8</w:t>
            </w:r>
          </w:p>
        </w:tc>
      </w:tr>
      <w:tr w:rsidR="007631B1">
        <w:tc>
          <w:tcPr>
            <w:tcW w:w="55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312</w:t>
            </w:r>
          </w:p>
        </w:tc>
        <w:tc>
          <w:tcPr>
            <w:tcW w:w="14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Ostali rashodi za zaposlene</w:t>
            </w:r>
          </w:p>
        </w:tc>
        <w:tc>
          <w:tcPr>
            <w:tcW w:w="951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43.966,04</w:t>
            </w:r>
          </w:p>
        </w:tc>
        <w:tc>
          <w:tcPr>
            <w:tcW w:w="89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24.120,68</w:t>
            </w:r>
          </w:p>
        </w:tc>
        <w:tc>
          <w:tcPr>
            <w:tcW w:w="115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54,9</w:t>
            </w:r>
          </w:p>
        </w:tc>
      </w:tr>
      <w:tr w:rsidR="007631B1">
        <w:tc>
          <w:tcPr>
            <w:tcW w:w="55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313</w:t>
            </w:r>
          </w:p>
        </w:tc>
        <w:tc>
          <w:tcPr>
            <w:tcW w:w="14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Doprinosi na plaće</w:t>
            </w:r>
          </w:p>
        </w:tc>
        <w:tc>
          <w:tcPr>
            <w:tcW w:w="951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45.394,94</w:t>
            </w:r>
          </w:p>
        </w:tc>
        <w:tc>
          <w:tcPr>
            <w:tcW w:w="89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66.079,26</w:t>
            </w:r>
          </w:p>
        </w:tc>
        <w:tc>
          <w:tcPr>
            <w:tcW w:w="115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145,6</w:t>
            </w:r>
          </w:p>
        </w:tc>
      </w:tr>
    </w:tbl>
    <w:p w:rsidR="007631B1" w:rsidRDefault="00E907D8">
      <w:r>
        <w:t> 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112.270,29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98.206,59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87,5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Materijalni rashodi su ostvareni u iznosu od 98.206,59 EUR odnosno </w:t>
      </w:r>
      <w:r>
        <w:t>87,5% u odnosu na prethodnu godinu.</w:t>
      </w:r>
    </w:p>
    <w:p w:rsidR="007631B1" w:rsidRDefault="00E907D8">
      <w:r>
        <w:t> </w:t>
      </w:r>
    </w:p>
    <w:tbl>
      <w:tblPr>
        <w:tblStyle w:val="Reetkatablice"/>
        <w:tblW w:w="4791" w:type="pct"/>
        <w:tblLook w:val="04A0"/>
      </w:tblPr>
      <w:tblGrid>
        <w:gridCol w:w="1596"/>
        <w:gridCol w:w="1959"/>
        <w:gridCol w:w="1465"/>
        <w:gridCol w:w="1803"/>
        <w:gridCol w:w="2077"/>
      </w:tblGrid>
      <w:tr w:rsidR="007631B1">
        <w:trPr>
          <w:trHeight w:val="542"/>
        </w:trPr>
        <w:tc>
          <w:tcPr>
            <w:tcW w:w="89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Račun iz rač.plana</w:t>
            </w:r>
          </w:p>
        </w:tc>
        <w:tc>
          <w:tcPr>
            <w:tcW w:w="110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Opis stavke</w:t>
            </w:r>
          </w:p>
        </w:tc>
        <w:tc>
          <w:tcPr>
            <w:tcW w:w="82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2024.</w:t>
            </w:r>
          </w:p>
        </w:tc>
        <w:tc>
          <w:tcPr>
            <w:tcW w:w="101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2025.</w:t>
            </w:r>
          </w:p>
        </w:tc>
        <w:tc>
          <w:tcPr>
            <w:tcW w:w="116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Indeks</w:t>
            </w:r>
          </w:p>
        </w:tc>
      </w:tr>
      <w:tr w:rsidR="007631B1">
        <w:trPr>
          <w:trHeight w:val="542"/>
        </w:trPr>
        <w:tc>
          <w:tcPr>
            <w:tcW w:w="89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321</w:t>
            </w:r>
          </w:p>
        </w:tc>
        <w:tc>
          <w:tcPr>
            <w:tcW w:w="110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Naknade troškova zaposlenima</w:t>
            </w:r>
          </w:p>
        </w:tc>
        <w:tc>
          <w:tcPr>
            <w:tcW w:w="82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18.790,52</w:t>
            </w:r>
          </w:p>
        </w:tc>
        <w:tc>
          <w:tcPr>
            <w:tcW w:w="101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24.534,37</w:t>
            </w:r>
          </w:p>
        </w:tc>
        <w:tc>
          <w:tcPr>
            <w:tcW w:w="116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130,6</w:t>
            </w:r>
          </w:p>
        </w:tc>
      </w:tr>
      <w:tr w:rsidR="007631B1">
        <w:trPr>
          <w:trHeight w:val="542"/>
        </w:trPr>
        <w:tc>
          <w:tcPr>
            <w:tcW w:w="89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322</w:t>
            </w:r>
          </w:p>
        </w:tc>
        <w:tc>
          <w:tcPr>
            <w:tcW w:w="110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Rashodi za materijal i energiju</w:t>
            </w:r>
          </w:p>
        </w:tc>
        <w:tc>
          <w:tcPr>
            <w:tcW w:w="82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48.965,19</w:t>
            </w:r>
          </w:p>
        </w:tc>
        <w:tc>
          <w:tcPr>
            <w:tcW w:w="101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53.458,90</w:t>
            </w:r>
          </w:p>
        </w:tc>
        <w:tc>
          <w:tcPr>
            <w:tcW w:w="116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109,2</w:t>
            </w:r>
          </w:p>
        </w:tc>
      </w:tr>
      <w:tr w:rsidR="007631B1">
        <w:trPr>
          <w:trHeight w:val="542"/>
        </w:trPr>
        <w:tc>
          <w:tcPr>
            <w:tcW w:w="89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323</w:t>
            </w:r>
          </w:p>
        </w:tc>
        <w:tc>
          <w:tcPr>
            <w:tcW w:w="110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Rashodi za usluge</w:t>
            </w:r>
          </w:p>
        </w:tc>
        <w:tc>
          <w:tcPr>
            <w:tcW w:w="82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42.401,21</w:t>
            </w:r>
          </w:p>
        </w:tc>
        <w:tc>
          <w:tcPr>
            <w:tcW w:w="101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18.492,58</w:t>
            </w:r>
          </w:p>
        </w:tc>
        <w:tc>
          <w:tcPr>
            <w:tcW w:w="116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43,6</w:t>
            </w:r>
          </w:p>
        </w:tc>
      </w:tr>
      <w:tr w:rsidR="007631B1">
        <w:trPr>
          <w:trHeight w:val="542"/>
        </w:trPr>
        <w:tc>
          <w:tcPr>
            <w:tcW w:w="89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324</w:t>
            </w:r>
          </w:p>
        </w:tc>
        <w:tc>
          <w:tcPr>
            <w:tcW w:w="110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Naknade troškova osobama izvan radnog odnosa</w:t>
            </w:r>
          </w:p>
        </w:tc>
        <w:tc>
          <w:tcPr>
            <w:tcW w:w="82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0,00</w:t>
            </w:r>
          </w:p>
        </w:tc>
        <w:tc>
          <w:tcPr>
            <w:tcW w:w="101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0,00</w:t>
            </w:r>
          </w:p>
        </w:tc>
        <w:tc>
          <w:tcPr>
            <w:tcW w:w="116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</w:t>
            </w:r>
          </w:p>
        </w:tc>
      </w:tr>
      <w:tr w:rsidR="007631B1">
        <w:trPr>
          <w:trHeight w:val="542"/>
        </w:trPr>
        <w:tc>
          <w:tcPr>
            <w:tcW w:w="89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329</w:t>
            </w:r>
          </w:p>
        </w:tc>
        <w:tc>
          <w:tcPr>
            <w:tcW w:w="110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Ostali nespomenuti rashodi poslovanja</w:t>
            </w:r>
          </w:p>
        </w:tc>
        <w:tc>
          <w:tcPr>
            <w:tcW w:w="823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2.113,37</w:t>
            </w:r>
          </w:p>
        </w:tc>
        <w:tc>
          <w:tcPr>
            <w:tcW w:w="101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1.720,74</w:t>
            </w:r>
          </w:p>
        </w:tc>
        <w:tc>
          <w:tcPr>
            <w:tcW w:w="116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81,4</w:t>
            </w:r>
          </w:p>
        </w:tc>
      </w:tr>
    </w:tbl>
    <w:p w:rsidR="007631B1" w:rsidRDefault="00E907D8">
      <w:r>
        <w:t> 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18.790,52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24.534,37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Naknade troškova zaposlenima (račun 321) izvršene su u iznosu od 24.534,37 EUR te je ova podskupina rashoda za 30,6 % </w:t>
      </w:r>
      <w:r>
        <w:t>veća u odnosu na izvršenje prethodne godine. Unutar ove podskupine rashoda najveće povećanje odnosi se na rashode za službena putovanja (zbog većeg broja seminara, konferencija i slično) te ostale naknade troškova zaposlenima.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48.965,19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53.458,90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Rashodi za materijal i </w:t>
      </w:r>
      <w:r>
        <w:t xml:space="preserve">energiju (šifra 322) izvršeni su u iznosu 53.458,90 EUR te su u odnosu na prethodnu godinu veći za 9,2 %. Glavno povećanje u ovoj podskupini rashoda odnosi se na rashode za materijal i dijelove za tekuće i investicijsko koji su veći su za 186,7 % u odnosu </w:t>
      </w:r>
      <w:r>
        <w:t>na izvršenje u izvještajnom razdoblju prethodne godine.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usluge (šifre 3231 </w:t>
            </w:r>
            <w:r>
              <w:rPr>
                <w:sz w:val="18"/>
              </w:rPr>
              <w:t>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42.401,21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18.492,58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43,6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Rashodi za usluge  izvršeni su u iznosu od 42.401,21 EUR te su u odnosu na prethodnu godinu manji za 56,4 %. Unutar podskupine rashoda za usluge, najveće smanjenje ostvareno je od usluge tekućeg i investicijskog održ</w:t>
      </w:r>
      <w:r>
        <w:t>avanja.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81,4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lastRenderedPageBreak/>
        <w:t xml:space="preserve">Ostali nespomenuti rashodi poslovanja izvršeni su u iznosu od 1.720,74 EUR i manji su za 18,6 % u odnosu na izvršenje u izvještajnom razdoblju prethodne godine. Unutar podskupine ostalih nespomenutih rashoda, glavna odstupanja odnose se na </w:t>
      </w:r>
      <w:r>
        <w:t>rashode ostali nespomenuti rashodi poslovanja.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67,6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Financijski rashodi su ostvareni u iznosu od 743,35 EUR odnosno 67,6% u odnosu na prethodnu godinu.</w:t>
      </w:r>
    </w:p>
    <w:p w:rsidR="007631B1" w:rsidRDefault="00E907D8">
      <w:r>
        <w:t>Navedeni rashodi se odnose na bankarske usluge  i uslue platnog prometa.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207,3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Rashodi za nabavu proizvedene </w:t>
      </w:r>
      <w:r>
        <w:t>dugotrajne imovine ostvareni su u iznosu od 5.291,0300 EUR odnosno 207,3% u odnosu na prethodnu godinu. </w:t>
      </w:r>
    </w:p>
    <w:p w:rsidR="007631B1" w:rsidRDefault="00E907D8">
      <w:r>
        <w:t>Nabavljena je oprema za djecu.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35.603,69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U izvještajnom razdoblju ostvaren je ukupan manjak prihoda i primitaka </w:t>
      </w:r>
      <w:r>
        <w:t>(šifra Y006) u iznosu 35.603,69EUR, proizašao je iz:</w:t>
      </w:r>
      <w:r>
        <w:br/>
      </w:r>
      <w:r>
        <w:t>    manjak prihoda od poslovanja (Y001) 40.241,86 EUR,</w:t>
      </w:r>
      <w:r>
        <w:br/>
      </w:r>
      <w:r>
        <w:t>    manjka prihoda od nefinancijske imovine (Y002) 5.291,03 EUR.</w:t>
      </w:r>
      <w:r>
        <w:br/>
        <w:t>Preneseni višak prihoda i primitaka (šifra 9221-9222) iskazan je u iznosu od 9.92</w:t>
      </w:r>
      <w:r>
        <w:t>9,20 EUR. U 2025. godini nije bilo ispravaka pogreški iz prethodnog razdoblja koje zahtijevaju diranje računa rezultata.</w:t>
      </w:r>
      <w:r>
        <w:br/>
      </w:r>
      <w:r>
        <w:lastRenderedPageBreak/>
        <w:t>Višak prihoda i primitaka - preneseni (šifra 9221-9222 tekuće godine) smanjuje se za ostvareni manjak prihoda i primitaka tekuće godine</w:t>
      </w:r>
      <w:r>
        <w:t xml:space="preserve"> u iznosu od 45.532,89 EUR (šifra Y005), tako da manjak prihoda i primitaka raspoloživ u sljedećem razdoblju iznosi 35.603,69 EUR (šifra Y006). 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59.614,57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28.653,62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48,1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Vrijednost ukupne imovine na dan 31. prosinca 2025 godine iznosi 28.653,62 EUR i u odnosu na stanje imovine 1. siječnja 2025. godine evidentno je smanjenje za 51,9 %. Udio financijske imovine u ukupno</w:t>
      </w:r>
      <w:r>
        <w:t>j imovini iznosi 65,15 %, dok nefinancijska imovina u ukupnoj imovini Dječjeg vrtića participira udjelom od 34,85 %.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Nefinancijska imovina (šifre </w:t>
            </w:r>
            <w:r>
              <w:rPr>
                <w:sz w:val="18"/>
              </w:rPr>
              <w:t>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7.396,43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9.986,90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Ukupna vrijednost nefinancijske imovine Dječjeg vrtića (šifra B002) na dan 31. prosinca 2025. iznosi 9.986,90 EUR i u odnosu na prethodnu godinu veća je za 35,0 %.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7.396,43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9.986,90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Proizvedena dugotrajna </w:t>
      </w:r>
      <w:r>
        <w:t>imovina (šifra 02) – Vrijednost proizvedene dugotrajne imovine na dan 31. prosinca 2025. iznosi 9.986,90 EUR te je veća za 35,0 % u odnosu na prethodnu godinu.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4.779,83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174,7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Postrojenja i oprema (šifra 022 i 02922) – Vrijednost postrojenja i opreme na dan 31. prosinca 2025. godine iznosi 8.351,53 EUR te je veća za </w:t>
      </w:r>
      <w:r>
        <w:t>74,7 % u odnosu na prethodnu godinu a sve sukladno opisanoj nabavi proizvedene dugotrajne imovine. Sukladno Pravilniku o proračunskom računovodstvu i računskom planu nabavljena oprema čiji je pojedinačni trošak nabave (nabavna vrijednost) niži od 464,53 EU</w:t>
      </w:r>
      <w:r>
        <w:t>R otpisana je jednokratno. Za opremu čiji je pojedinačni trošak nabave veći od 464,53 EUR, obračun ispravka vrijednosti proveden je po prosječnim godišnjim stopama linearnom metodom.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62,5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Prijevozna sredstva (šifra 023 i 02923) – Vrijednost postrojenja i opreme na dan 31. prosinca 2025. godine iznosi 1.635,37 EUR</w:t>
      </w:r>
      <w:r>
        <w:t xml:space="preserve"> te je manja za 37,5 % u odnosu na prethodnu godinu.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52.218,14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18.666,72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35,7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Vrijednost ukupne</w:t>
      </w:r>
      <w:r>
        <w:t xml:space="preserve"> financijske imovine Dječjeg vrtića iznosi 18.666,72 EUR i bilježi smanjenje za 64,3 % u odnosu na stanje 1. siječnja 2025 godine.</w:t>
      </w:r>
    </w:p>
    <w:p w:rsidR="007631B1" w:rsidRDefault="00E907D8">
      <w:r>
        <w:t>U sljedećoj tablici prikazana je struktura financijske imovine.</w:t>
      </w:r>
    </w:p>
    <w:tbl>
      <w:tblPr>
        <w:tblStyle w:val="Reetkatablice"/>
        <w:tblW w:w="4478" w:type="pct"/>
        <w:tblLook w:val="04A0"/>
      </w:tblPr>
      <w:tblGrid>
        <w:gridCol w:w="1327"/>
        <w:gridCol w:w="2956"/>
        <w:gridCol w:w="1649"/>
        <w:gridCol w:w="1293"/>
        <w:gridCol w:w="1093"/>
      </w:tblGrid>
      <w:tr w:rsidR="007631B1">
        <w:tc>
          <w:tcPr>
            <w:tcW w:w="797" w:type="pct"/>
            <w:vAlign w:val="center"/>
          </w:tcPr>
          <w:p w:rsidR="007631B1" w:rsidRDefault="00E907D8">
            <w:pPr>
              <w:keepNext/>
              <w:jc w:val="center"/>
            </w:pPr>
            <w:r>
              <w:lastRenderedPageBreak/>
              <w:t>Račun iz Rač. plana</w:t>
            </w:r>
          </w:p>
        </w:tc>
        <w:tc>
          <w:tcPr>
            <w:tcW w:w="177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Opis stavke</w:t>
            </w:r>
          </w:p>
        </w:tc>
        <w:tc>
          <w:tcPr>
            <w:tcW w:w="991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1.siječnja 2025.</w:t>
            </w:r>
          </w:p>
        </w:tc>
        <w:tc>
          <w:tcPr>
            <w:tcW w:w="77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 xml:space="preserve">31.siječnja </w:t>
            </w:r>
            <w:r>
              <w:t>2025.</w:t>
            </w:r>
          </w:p>
        </w:tc>
        <w:tc>
          <w:tcPr>
            <w:tcW w:w="65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Indeks</w:t>
            </w:r>
          </w:p>
        </w:tc>
      </w:tr>
      <w:tr w:rsidR="007631B1">
        <w:tc>
          <w:tcPr>
            <w:tcW w:w="79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11</w:t>
            </w:r>
          </w:p>
        </w:tc>
        <w:tc>
          <w:tcPr>
            <w:tcW w:w="177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Novac u banci i blagajni </w:t>
            </w:r>
          </w:p>
        </w:tc>
        <w:tc>
          <w:tcPr>
            <w:tcW w:w="991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45.697,10</w:t>
            </w:r>
          </w:p>
        </w:tc>
        <w:tc>
          <w:tcPr>
            <w:tcW w:w="77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0,00</w:t>
            </w:r>
          </w:p>
        </w:tc>
        <w:tc>
          <w:tcPr>
            <w:tcW w:w="65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</w:t>
            </w:r>
          </w:p>
        </w:tc>
      </w:tr>
      <w:tr w:rsidR="007631B1">
        <w:tc>
          <w:tcPr>
            <w:tcW w:w="79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12</w:t>
            </w:r>
          </w:p>
        </w:tc>
        <w:tc>
          <w:tcPr>
            <w:tcW w:w="177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Depoziti, jamčevni polozi i potraživanja od zaposlenih te za više plaćene poreze i ost.</w:t>
            </w:r>
          </w:p>
        </w:tc>
        <w:tc>
          <w:tcPr>
            <w:tcW w:w="991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1.525,04</w:t>
            </w:r>
          </w:p>
        </w:tc>
        <w:tc>
          <w:tcPr>
            <w:tcW w:w="77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5.830,48</w:t>
            </w:r>
          </w:p>
        </w:tc>
        <w:tc>
          <w:tcPr>
            <w:tcW w:w="65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382,3</w:t>
            </w:r>
          </w:p>
        </w:tc>
      </w:tr>
      <w:tr w:rsidR="007631B1">
        <w:tc>
          <w:tcPr>
            <w:tcW w:w="79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16</w:t>
            </w:r>
          </w:p>
        </w:tc>
        <w:tc>
          <w:tcPr>
            <w:tcW w:w="177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Potraživanja za prihode poslovanja </w:t>
            </w:r>
          </w:p>
        </w:tc>
        <w:tc>
          <w:tcPr>
            <w:tcW w:w="991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4.352,38</w:t>
            </w:r>
          </w:p>
        </w:tc>
        <w:tc>
          <w:tcPr>
            <w:tcW w:w="77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10.684,39</w:t>
            </w:r>
          </w:p>
        </w:tc>
        <w:tc>
          <w:tcPr>
            <w:tcW w:w="65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245,50</w:t>
            </w:r>
          </w:p>
        </w:tc>
      </w:tr>
      <w:tr w:rsidR="007631B1">
        <w:tc>
          <w:tcPr>
            <w:tcW w:w="79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19</w:t>
            </w:r>
          </w:p>
        </w:tc>
        <w:tc>
          <w:tcPr>
            <w:tcW w:w="177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 xml:space="preserve">Rashodi </w:t>
            </w:r>
            <w:r>
              <w:t>budućih razdoblja</w:t>
            </w:r>
          </w:p>
        </w:tc>
        <w:tc>
          <w:tcPr>
            <w:tcW w:w="991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643,62</w:t>
            </w:r>
          </w:p>
        </w:tc>
        <w:tc>
          <w:tcPr>
            <w:tcW w:w="77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2.151,85</w:t>
            </w:r>
          </w:p>
        </w:tc>
        <w:tc>
          <w:tcPr>
            <w:tcW w:w="657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334,3</w:t>
            </w:r>
          </w:p>
        </w:tc>
      </w:tr>
    </w:tbl>
    <w:p w:rsidR="007631B1" w:rsidRDefault="00E907D8">
      <w:r>
        <w:t> 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45.697,10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Novac u banci i blagajni (šifra 11) –</w:t>
      </w:r>
      <w:r>
        <w:t xml:space="preserve"> novčana sredstava na računu u OTP banci iznose 0,00 EUR, zbog uspostave pune riznice od 01.10.2025.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jamčevne pologe, od zaposlenih te</w:t>
            </w:r>
            <w:r>
              <w:rPr>
                <w:sz w:val="18"/>
              </w:rPr>
              <w:t xml:space="preserve">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382,3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Depoziti, jamčevni polozi</w:t>
      </w:r>
      <w:r>
        <w:t xml:space="preserve"> i potraživanja od zaposlenih te za više plaćene poreze i ostalo (šifra 12) – početno stanje povećano je za 282,3 % i sada iznosi 5.830,48 EUR.  Navedeno se odnosi na potraživanja za naknade koje se refundiraju (HZZO).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10.684,39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245,5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Potraživanja za prihode poslovanja (šifra 16) – stanje ukupnih potraživanja za prihode poslovanja na 31. prosinca 2025. iznosi 10.684,39 EUR. Potraživanja za prihode poslovanja uključuju potraživanja za upravne i administrativne pristojbe, pristojbe po pos</w:t>
      </w:r>
      <w:r>
        <w:t xml:space="preserve">ebnim </w:t>
      </w:r>
      <w:r>
        <w:lastRenderedPageBreak/>
        <w:t>propisima i naknade (potraživanja od roditelja). te potraživanja proračunskih korisnika za sredstva uplaćena u nadležni proračun (riznica).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37.936,56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47.344,03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Obveze bilježe ukupno povećanje za 24,8% u odnosu na prethodnu godinu i iznose 47.344,03 EUR (šifra 2). U sljedećoj tablici prikazana je struktura obveza.</w:t>
      </w:r>
    </w:p>
    <w:p w:rsidR="007631B1" w:rsidRDefault="00E907D8">
      <w:r>
        <w:t> </w:t>
      </w:r>
    </w:p>
    <w:tbl>
      <w:tblPr>
        <w:tblStyle w:val="Reetkatablice"/>
        <w:tblW w:w="5000" w:type="pct"/>
        <w:tblLook w:val="04A0"/>
      </w:tblPr>
      <w:tblGrid>
        <w:gridCol w:w="1636"/>
        <w:gridCol w:w="2471"/>
        <w:gridCol w:w="1741"/>
        <w:gridCol w:w="1794"/>
        <w:gridCol w:w="1646"/>
      </w:tblGrid>
      <w:tr w:rsidR="007631B1">
        <w:trPr>
          <w:trHeight w:val="542"/>
        </w:trPr>
        <w:tc>
          <w:tcPr>
            <w:tcW w:w="88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Račun iz Rač. plana</w:t>
            </w:r>
          </w:p>
        </w:tc>
        <w:tc>
          <w:tcPr>
            <w:tcW w:w="133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Opis stavke</w:t>
            </w:r>
          </w:p>
        </w:tc>
        <w:tc>
          <w:tcPr>
            <w:tcW w:w="93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 xml:space="preserve">1. </w:t>
            </w:r>
            <w:r>
              <w:t>siječnja 2025.</w:t>
            </w:r>
          </w:p>
        </w:tc>
        <w:tc>
          <w:tcPr>
            <w:tcW w:w="96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31 prosinac 2025.</w:t>
            </w:r>
          </w:p>
        </w:tc>
        <w:tc>
          <w:tcPr>
            <w:tcW w:w="88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Indeks</w:t>
            </w:r>
          </w:p>
        </w:tc>
      </w:tr>
      <w:tr w:rsidR="007631B1">
        <w:trPr>
          <w:trHeight w:val="542"/>
        </w:trPr>
        <w:tc>
          <w:tcPr>
            <w:tcW w:w="88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</w:t>
            </w:r>
          </w:p>
        </w:tc>
        <w:tc>
          <w:tcPr>
            <w:tcW w:w="133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Obveze</w:t>
            </w:r>
          </w:p>
        </w:tc>
        <w:tc>
          <w:tcPr>
            <w:tcW w:w="93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37.936,56</w:t>
            </w:r>
          </w:p>
        </w:tc>
        <w:tc>
          <w:tcPr>
            <w:tcW w:w="96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47.344,03</w:t>
            </w:r>
          </w:p>
        </w:tc>
        <w:tc>
          <w:tcPr>
            <w:tcW w:w="88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124,8</w:t>
            </w:r>
          </w:p>
        </w:tc>
      </w:tr>
      <w:tr w:rsidR="007631B1">
        <w:trPr>
          <w:trHeight w:val="542"/>
        </w:trPr>
        <w:tc>
          <w:tcPr>
            <w:tcW w:w="88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23</w:t>
            </w:r>
          </w:p>
        </w:tc>
        <w:tc>
          <w:tcPr>
            <w:tcW w:w="133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Obveze za rashode poslovanja</w:t>
            </w:r>
          </w:p>
        </w:tc>
        <w:tc>
          <w:tcPr>
            <w:tcW w:w="93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37.936,56</w:t>
            </w:r>
          </w:p>
        </w:tc>
        <w:tc>
          <w:tcPr>
            <w:tcW w:w="96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47.344,03</w:t>
            </w:r>
          </w:p>
        </w:tc>
        <w:tc>
          <w:tcPr>
            <w:tcW w:w="88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124,8</w:t>
            </w:r>
          </w:p>
        </w:tc>
      </w:tr>
      <w:tr w:rsidR="007631B1">
        <w:trPr>
          <w:trHeight w:val="542"/>
        </w:trPr>
        <w:tc>
          <w:tcPr>
            <w:tcW w:w="88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231</w:t>
            </w:r>
          </w:p>
        </w:tc>
        <w:tc>
          <w:tcPr>
            <w:tcW w:w="133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Obveze za zaposlene</w:t>
            </w:r>
          </w:p>
        </w:tc>
        <w:tc>
          <w:tcPr>
            <w:tcW w:w="93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34.707,10</w:t>
            </w:r>
          </w:p>
        </w:tc>
        <w:tc>
          <w:tcPr>
            <w:tcW w:w="96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44.489,36</w:t>
            </w:r>
          </w:p>
        </w:tc>
        <w:tc>
          <w:tcPr>
            <w:tcW w:w="88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128,2</w:t>
            </w:r>
          </w:p>
        </w:tc>
      </w:tr>
      <w:tr w:rsidR="007631B1">
        <w:trPr>
          <w:trHeight w:val="542"/>
        </w:trPr>
        <w:tc>
          <w:tcPr>
            <w:tcW w:w="88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232</w:t>
            </w:r>
          </w:p>
        </w:tc>
        <w:tc>
          <w:tcPr>
            <w:tcW w:w="133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Obveze za materijalne rashode</w:t>
            </w:r>
          </w:p>
        </w:tc>
        <w:tc>
          <w:tcPr>
            <w:tcW w:w="93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3.122,43</w:t>
            </w:r>
          </w:p>
        </w:tc>
        <w:tc>
          <w:tcPr>
            <w:tcW w:w="96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2.854,67</w:t>
            </w:r>
          </w:p>
        </w:tc>
        <w:tc>
          <w:tcPr>
            <w:tcW w:w="88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91,4</w:t>
            </w:r>
          </w:p>
        </w:tc>
      </w:tr>
      <w:tr w:rsidR="007631B1">
        <w:trPr>
          <w:trHeight w:val="542"/>
        </w:trPr>
        <w:tc>
          <w:tcPr>
            <w:tcW w:w="88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234</w:t>
            </w:r>
          </w:p>
        </w:tc>
        <w:tc>
          <w:tcPr>
            <w:tcW w:w="1330" w:type="pct"/>
            <w:vAlign w:val="center"/>
          </w:tcPr>
          <w:p w:rsidR="007631B1" w:rsidRDefault="00E907D8">
            <w:pPr>
              <w:keepNext/>
              <w:jc w:val="center"/>
            </w:pPr>
            <w:r>
              <w:t xml:space="preserve">Obveze </w:t>
            </w:r>
            <w:r>
              <w:t>za financijske rashode</w:t>
            </w:r>
          </w:p>
        </w:tc>
        <w:tc>
          <w:tcPr>
            <w:tcW w:w="936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107,03</w:t>
            </w:r>
          </w:p>
        </w:tc>
        <w:tc>
          <w:tcPr>
            <w:tcW w:w="96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0,0</w:t>
            </w:r>
          </w:p>
        </w:tc>
        <w:tc>
          <w:tcPr>
            <w:tcW w:w="885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</w:t>
            </w:r>
          </w:p>
        </w:tc>
      </w:tr>
    </w:tbl>
    <w:p w:rsidR="007631B1" w:rsidRDefault="00E907D8">
      <w:r>
        <w:t> 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21.678,01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-18.690,41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-86,2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Vlastiti izvori (šifra 9) – </w:t>
      </w:r>
      <w:r>
        <w:t>smanjeni su u odnosu na 1. siječnja 2025. za -86,2% i iznose -18.690,41 EUR.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i ispravak vlastitih izvora (šifre 911-912)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7.396,43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9.986,90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Vlastiti izvori i ispravak vlastitih izvora (šifra 91) – povečani su u odnosu na 1. siječnja 2025. za 35,0 % i iznose 9.986,90 EUR zbog provedenog godišnjeg obračuna ispravka vrijednosti koji umanjuje izvore vlasništva podskupine 911.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9.929,20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-35.603,69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-358,6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Višak / manjak prihoda  (šifra 922) - na kraju proračunske godine utvrđen </w:t>
      </w:r>
      <w:r>
        <w:t>je manjak prihoda u ukupnom iznosu od 35.603,69 EUR, koji se sastoji od manjka prihoda poslovanja (šifra 92221) 30.312,66 EUR, te od manjka prihoda od nefinancijske imovine (šifra 92222) 5.291,03 EUR. U 2025. godini nije bilo temelja za provođenje korekcij</w:t>
      </w:r>
      <w:r>
        <w:t>e rezultata sukladno članku 82. Pravilnika o proračunskom računovodstvu i računskom planu.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od upravnih i administrativnih </w:t>
            </w:r>
            <w:r>
              <w:rPr>
                <w:sz w:val="18"/>
              </w:rPr>
              <w:t>pristojbi, pristojbi po posebnim propisima i naknada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6.676,38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153,4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Obračunati prihodi poslovanja (šifra 96) - iznose 6.676,38 EUR i odnose se na nenaplaćena potraživanja od roditelja za sufinanciranje cijene usluge.</w:t>
      </w:r>
    </w:p>
    <w:p w:rsidR="007631B1" w:rsidRDefault="00E907D8">
      <w:r>
        <w:t> </w:t>
      </w:r>
    </w:p>
    <w:p w:rsidR="007631B1" w:rsidRDefault="00E907D8">
      <w:r>
        <w:t xml:space="preserve">Obvezne Bilješke uz </w:t>
      </w:r>
      <w:r>
        <w:t>Bilancu su:</w:t>
      </w:r>
    </w:p>
    <w:p w:rsidR="007631B1" w:rsidRDefault="00E907D8">
      <w:r>
        <w:t xml:space="preserve">•         Popis ugovornih odnosa i slično koji uz ispunjenje određenih uvjeta, mogu postati obveza ili imovina (dana kreditna pisma, hipoteke i slično) – Na dan 31. prosinca 2025. godine Dječji vrtić „Tratinčica“ nema ugovornih odnosa i slično </w:t>
      </w:r>
      <w:r>
        <w:t>koji uz ispunjenje određenih uvjeta, mogu postati obveza ili imovina (dana kreditna pisma, hipoteke i slično).</w:t>
      </w:r>
    </w:p>
    <w:p w:rsidR="007631B1" w:rsidRDefault="00E907D8">
      <w:r>
        <w:t>•         Popis sudskih sporova u tijeku - Na dan 31. prosinca 2025. godine Dječji vrtić „Tratinčica“ nema sudskih sporova u tijeku.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b/>
          <w:sz w:val="28"/>
        </w:rPr>
        <w:t>Izvještaj o</w:t>
      </w:r>
      <w:r>
        <w:rPr>
          <w:b/>
          <w:sz w:val="28"/>
        </w:rPr>
        <w:t xml:space="preserve"> rashodima prema funkcijskoj klasifikaciji</w:t>
      </w:r>
    </w:p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Obrazovanje (šifre </w:t>
            </w:r>
            <w:r>
              <w:rPr>
                <w:sz w:val="18"/>
              </w:rPr>
              <w:t>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488.179,15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595.684,32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Sukladno Pravilniku o proračunskom računovodstvu i računskom planu te uputama Ministarstva financija sastavlja se obrazac o rashodima prema funkcijskoj klasifikaciji. Funkcijska klasifikacij</w:t>
      </w:r>
      <w:r>
        <w:t>a sadrži rashode (samo razred 3 i 4) prema njihovoj namjeni koji su preuzeti iz međunarodne klasifikacije funkcija države (COFOG) Ujedinjenih naroda – Klasifikacija rashoda u skladu s namjenom.</w:t>
      </w:r>
      <w:r>
        <w:br/>
        <w:t>Rashodi dječjeg vrtića Dječjeg vrtića „Tratinčica“ klasificira</w:t>
      </w:r>
      <w:r>
        <w:t>ju se pod funkciju 091 (predškolsko i osnovno obrazovanje), odnosno 0911 – Predškolsko obrazovanje, s tim da se rashodi hrane (konto 32224) te ostali rashodi sličnih dopunskih usluga namijenjenih djeci odnosno korisnicima usluga obrazovanja klasificiraju p</w:t>
      </w:r>
      <w:r>
        <w:t>od 096 – Dodatne usluge u obrazovanju. Navedeno je prikazano u nastavku.</w:t>
      </w:r>
    </w:p>
    <w:p w:rsidR="007631B1" w:rsidRDefault="00E907D8">
      <w:r>
        <w:t> </w:t>
      </w:r>
    </w:p>
    <w:tbl>
      <w:tblPr>
        <w:tblStyle w:val="Reetkatablice"/>
        <w:tblW w:w="5000" w:type="pct"/>
        <w:tblLook w:val="04A0"/>
      </w:tblPr>
      <w:tblGrid>
        <w:gridCol w:w="1565"/>
        <w:gridCol w:w="1565"/>
        <w:gridCol w:w="2177"/>
        <w:gridCol w:w="2655"/>
        <w:gridCol w:w="1326"/>
      </w:tblGrid>
      <w:tr w:rsidR="007631B1">
        <w:tc>
          <w:tcPr>
            <w:tcW w:w="8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Brojč. ozn. funk. klas.</w:t>
            </w:r>
          </w:p>
        </w:tc>
        <w:tc>
          <w:tcPr>
            <w:tcW w:w="8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Opis stavke</w:t>
            </w:r>
          </w:p>
        </w:tc>
        <w:tc>
          <w:tcPr>
            <w:tcW w:w="117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Ostvareno u izvještajnom razdoblju preth. godine</w:t>
            </w:r>
          </w:p>
        </w:tc>
        <w:tc>
          <w:tcPr>
            <w:tcW w:w="142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Ostvareno u izvještajnom razdoblju tekuće godine</w:t>
            </w:r>
          </w:p>
        </w:tc>
        <w:tc>
          <w:tcPr>
            <w:tcW w:w="714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Indeks</w:t>
            </w:r>
          </w:p>
        </w:tc>
      </w:tr>
      <w:tr w:rsidR="007631B1">
        <w:tc>
          <w:tcPr>
            <w:tcW w:w="8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09</w:t>
            </w:r>
          </w:p>
        </w:tc>
        <w:tc>
          <w:tcPr>
            <w:tcW w:w="8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Obrazovanje</w:t>
            </w:r>
          </w:p>
        </w:tc>
        <w:tc>
          <w:tcPr>
            <w:tcW w:w="117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488.179,15</w:t>
            </w:r>
          </w:p>
        </w:tc>
        <w:tc>
          <w:tcPr>
            <w:tcW w:w="142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595.684,32</w:t>
            </w:r>
          </w:p>
        </w:tc>
        <w:tc>
          <w:tcPr>
            <w:tcW w:w="714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122,0</w:t>
            </w:r>
          </w:p>
        </w:tc>
      </w:tr>
      <w:tr w:rsidR="007631B1">
        <w:tc>
          <w:tcPr>
            <w:tcW w:w="8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091</w:t>
            </w:r>
          </w:p>
        </w:tc>
        <w:tc>
          <w:tcPr>
            <w:tcW w:w="8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Predškolsko i osnovno obrazovanje </w:t>
            </w:r>
          </w:p>
        </w:tc>
        <w:tc>
          <w:tcPr>
            <w:tcW w:w="117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458.999,60</w:t>
            </w:r>
          </w:p>
        </w:tc>
        <w:tc>
          <w:tcPr>
            <w:tcW w:w="142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561.956,33</w:t>
            </w:r>
          </w:p>
        </w:tc>
        <w:tc>
          <w:tcPr>
            <w:tcW w:w="714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122,4</w:t>
            </w:r>
          </w:p>
        </w:tc>
      </w:tr>
      <w:tr w:rsidR="007631B1">
        <w:tc>
          <w:tcPr>
            <w:tcW w:w="8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0911</w:t>
            </w:r>
          </w:p>
        </w:tc>
        <w:tc>
          <w:tcPr>
            <w:tcW w:w="8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Predškolsko obrazovanje</w:t>
            </w:r>
          </w:p>
        </w:tc>
        <w:tc>
          <w:tcPr>
            <w:tcW w:w="117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458.999,60</w:t>
            </w:r>
          </w:p>
        </w:tc>
        <w:tc>
          <w:tcPr>
            <w:tcW w:w="142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561.956,33</w:t>
            </w:r>
          </w:p>
        </w:tc>
        <w:tc>
          <w:tcPr>
            <w:tcW w:w="714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122,4</w:t>
            </w:r>
          </w:p>
        </w:tc>
      </w:tr>
      <w:tr w:rsidR="007631B1">
        <w:tc>
          <w:tcPr>
            <w:tcW w:w="8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096</w:t>
            </w:r>
          </w:p>
        </w:tc>
        <w:tc>
          <w:tcPr>
            <w:tcW w:w="84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Dodatne usluge u obrazovanju</w:t>
            </w:r>
          </w:p>
        </w:tc>
        <w:tc>
          <w:tcPr>
            <w:tcW w:w="1172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29.179,55</w:t>
            </w:r>
          </w:p>
        </w:tc>
        <w:tc>
          <w:tcPr>
            <w:tcW w:w="1428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33.727,99</w:t>
            </w:r>
          </w:p>
        </w:tc>
        <w:tc>
          <w:tcPr>
            <w:tcW w:w="714" w:type="pct"/>
            <w:vAlign w:val="center"/>
          </w:tcPr>
          <w:p w:rsidR="007631B1" w:rsidRDefault="00E907D8">
            <w:pPr>
              <w:keepNext/>
              <w:jc w:val="center"/>
            </w:pPr>
            <w:r>
              <w:t>115,6</w:t>
            </w:r>
          </w:p>
        </w:tc>
      </w:tr>
    </w:tbl>
    <w:p w:rsidR="007631B1" w:rsidRDefault="00E907D8">
      <w:r>
        <w:t> 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7631B1" w:rsidRDefault="00E907D8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2.102,99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lastRenderedPageBreak/>
        <w:t>Prema modificiranom računovodstvenom načelu nastanku događaja, u proračunskom računovodstvu ne iskazuje se rashod amortizacije, već se provodi ispravak vrijednosti kojim se smanjuju vlastiti izvori iz proračuna na podskupini 911. Takva promjena utječe na s</w:t>
      </w:r>
      <w:r>
        <w:t>manjenje imovine bez priznavanja rashoda i prihoda te se prema novom Pravilniku ispravak vrijednosti dugotrajne nefinanicjek imovine knjigovodstveno evidentira preko podskupine 915.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37.936,56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Stanje obveza na dan 1. siječnja 2025. godine (šifra V001) predstavlja nepodmirene obveze iz prethodne proračunske </w:t>
      </w:r>
      <w:r>
        <w:t>godine koje su prenesene u 2025. godinu. Ukupne obveze Dječjeg vrtića „Tratinčica“ na dan 1. siječnja 20245 godine iznosile su 37.936,56 EUR (šifra V001).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Povećanje obveza u </w:t>
            </w:r>
            <w:r>
              <w:rPr>
                <w:sz w:val="18"/>
              </w:rPr>
              <w:t>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628.579,88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Povećanje obveza u izvještajnom razdoblju iznosi 628.579,88 EUR (šifra V002). Obveze za rashode poslovanja (23) povećane su za 611.421,69 EUR. Obveze za nabavu </w:t>
      </w:r>
      <w:r>
        <w:t>nefinancijske imovine (24) povećane su za 5.291,03 EUR.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619.172,41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Obveze su podmirene u </w:t>
      </w:r>
      <w:r>
        <w:t>iznosu od 619.172,41 EUR (V004).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47.344,03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Stanje obveza na dan 31. prosinca 2025. </w:t>
      </w:r>
      <w:r>
        <w:t>godine iznosi 47.344,03 EUR (šifra V006).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 xml:space="preserve">Na kraju izvještajnog </w:t>
      </w:r>
      <w:r>
        <w:t>razdoblja, dječji vrtić Tratinčica nema dospjelih obveza.</w:t>
      </w:r>
    </w:p>
    <w:p w:rsidR="007631B1" w:rsidRDefault="007631B1"/>
    <w:p w:rsidR="007631B1" w:rsidRDefault="00E907D8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7631B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31B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7631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47.344,03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31B1" w:rsidRDefault="00E907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631B1" w:rsidRDefault="007631B1">
      <w:pPr>
        <w:spacing w:after="0"/>
      </w:pPr>
    </w:p>
    <w:p w:rsidR="007631B1" w:rsidRDefault="00E907D8">
      <w:r>
        <w:t>Stanje nedospjelih obveza na kraju izvještajnog razdoblja iznosi 47.344,03 EUR (V009), a odnose se na obveze za rashode poslovanja.</w:t>
      </w:r>
    </w:p>
    <w:p w:rsidR="007631B1" w:rsidRDefault="00E907D8">
      <w:r>
        <w:t>Dječji vrtić „Tratinčica“ na dan 31. prosinca 2025. godine nema obveza za nabavu nefinancijske imovine (šifra ND24) i obvez</w:t>
      </w:r>
      <w:r>
        <w:t>a za financijsku imovinu (šifra ND dio 25,26).</w:t>
      </w:r>
    </w:p>
    <w:p w:rsidR="007631B1" w:rsidRDefault="007631B1"/>
    <w:sectPr w:rsidR="007631B1" w:rsidSect="00502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7631B1"/>
    <w:rsid w:val="005028F2"/>
    <w:rsid w:val="007631B1"/>
    <w:rsid w:val="00C8647B"/>
    <w:rsid w:val="00E907D8"/>
    <w:rsid w:val="00FE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8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rsid w:val="0050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3666</Words>
  <Characters>20898</Characters>
  <Application>Microsoft Office Word</Application>
  <DocSecurity>0</DocSecurity>
  <Lines>174</Lines>
  <Paragraphs>49</Paragraphs>
  <ScaleCrop>false</ScaleCrop>
  <Company/>
  <LinksUpToDate>false</LinksUpToDate>
  <CharactersWithSpaces>24515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Vinus</dc:creator>
  <cp:lastModifiedBy>Tratincica</cp:lastModifiedBy>
  <cp:revision>2</cp:revision>
  <dcterms:created xsi:type="dcterms:W3CDTF">2026-01-28T11:03:00Z</dcterms:created>
  <dcterms:modified xsi:type="dcterms:W3CDTF">2026-01-28T11:03:00Z</dcterms:modified>
</cp:coreProperties>
</file>